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CellSpacing w:w="0" w:type="dxa"/>
        <w:tblCellMar>
          <w:left w:w="0" w:type="dxa"/>
          <w:bottom w:w="150" w:type="dxa"/>
          <w:right w:w="0" w:type="dxa"/>
        </w:tblCellMar>
        <w:tblLook w:val="04A0" w:firstRow="1" w:lastRow="0" w:firstColumn="1" w:lastColumn="0" w:noHBand="0" w:noVBand="1"/>
      </w:tblPr>
      <w:tblGrid>
        <w:gridCol w:w="9810"/>
      </w:tblGrid>
      <w:tr w:rsidR="005C59E4" w:rsidRPr="005C59E4" w:rsidTr="005C59E4">
        <w:trPr>
          <w:tblCellSpacing w:w="0" w:type="dxa"/>
        </w:trPr>
        <w:tc>
          <w:tcPr>
            <w:tcW w:w="0" w:type="auto"/>
            <w:vAlign w:val="center"/>
            <w:hideMark/>
          </w:tcPr>
          <w:p w:rsidR="005C59E4" w:rsidRPr="005C59E4" w:rsidRDefault="005C59E4" w:rsidP="005C59E4">
            <w:pPr>
              <w:spacing w:after="0" w:line="240" w:lineRule="auto"/>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737373"/>
                <w:sz w:val="24"/>
                <w:szCs w:val="24"/>
                <w:lang w:val="lv-LV" w:eastAsia="lv-LV"/>
              </w:rPr>
              <w:t>Komandējošā sastāva virsnieka programma</w:t>
            </w:r>
          </w:p>
        </w:tc>
      </w:tr>
    </w:tbl>
    <w:p w:rsidR="005C59E4" w:rsidRPr="005C59E4" w:rsidRDefault="005C59E4" w:rsidP="005C59E4">
      <w:pPr>
        <w:spacing w:after="0" w:line="240" w:lineRule="auto"/>
        <w:rPr>
          <w:rFonts w:ascii="Times New Roman" w:eastAsia="Times New Roman" w:hAnsi="Times New Roman" w:cs="Times New Roman"/>
          <w:vanish/>
          <w:color w:val="343434"/>
          <w:sz w:val="24"/>
          <w:szCs w:val="24"/>
          <w:lang w:val="lv-LV" w:eastAsia="lv-LV"/>
        </w:rPr>
      </w:pPr>
    </w:p>
    <w:tbl>
      <w:tblPr>
        <w:tblW w:w="9810" w:type="dxa"/>
        <w:tblCellSpacing w:w="15" w:type="dxa"/>
        <w:tblCellMar>
          <w:top w:w="15" w:type="dxa"/>
          <w:left w:w="15" w:type="dxa"/>
          <w:bottom w:w="15" w:type="dxa"/>
          <w:right w:w="15" w:type="dxa"/>
        </w:tblCellMar>
        <w:tblLook w:val="04A0" w:firstRow="1" w:lastRow="0" w:firstColumn="1" w:lastColumn="0" w:noHBand="0" w:noVBand="1"/>
      </w:tblPr>
      <w:tblGrid>
        <w:gridCol w:w="9810"/>
      </w:tblGrid>
      <w:tr w:rsidR="005C59E4" w:rsidRPr="005C59E4" w:rsidTr="005C59E4">
        <w:trPr>
          <w:tblCellSpacing w:w="15" w:type="dxa"/>
        </w:trPr>
        <w:tc>
          <w:tcPr>
            <w:tcW w:w="0" w:type="auto"/>
            <w:vAlign w:val="center"/>
            <w:hideMark/>
          </w:tcPr>
          <w:tbl>
            <w:tblPr>
              <w:tblW w:w="9720" w:type="dxa"/>
              <w:tblCellSpacing w:w="0" w:type="dxa"/>
              <w:tblCellMar>
                <w:left w:w="0" w:type="dxa"/>
                <w:right w:w="0" w:type="dxa"/>
              </w:tblCellMar>
              <w:tblLook w:val="04A0" w:firstRow="1" w:lastRow="0" w:firstColumn="1" w:lastColumn="0" w:noHBand="0" w:noVBand="1"/>
            </w:tblPr>
            <w:tblGrid>
              <w:gridCol w:w="9720"/>
            </w:tblGrid>
            <w:tr w:rsidR="005C59E4" w:rsidRPr="005C59E4">
              <w:trPr>
                <w:tblCellSpacing w:w="0" w:type="dxa"/>
              </w:trPr>
              <w:tc>
                <w:tcPr>
                  <w:tcW w:w="9720" w:type="dxa"/>
                  <w:hideMark/>
                </w:tcPr>
                <w:p w:rsidR="005C59E4" w:rsidRPr="005C59E4" w:rsidRDefault="005C59E4" w:rsidP="005C59E4">
                  <w:pPr>
                    <w:spacing w:after="0" w:line="240" w:lineRule="auto"/>
                    <w:rPr>
                      <w:rFonts w:ascii="Times New Roman" w:eastAsia="Times New Roman" w:hAnsi="Times New Roman" w:cs="Times New Roman"/>
                      <w:sz w:val="24"/>
                      <w:szCs w:val="24"/>
                      <w:lang w:val="lv-LV" w:eastAsia="lv-LV"/>
                    </w:rPr>
                  </w:pPr>
                </w:p>
              </w:tc>
            </w:tr>
          </w:tbl>
          <w:p w:rsidR="005C59E4" w:rsidRPr="005C59E4" w:rsidRDefault="005C59E4" w:rsidP="005C59E4">
            <w:pPr>
              <w:spacing w:after="120" w:line="240" w:lineRule="auto"/>
              <w:jc w:val="center"/>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C00000"/>
                <w:sz w:val="24"/>
                <w:szCs w:val="24"/>
                <w:lang w:val="lv-LV" w:eastAsia="lv-LV"/>
              </w:rPr>
              <w:t>Profesionālā augstākās izglītības programma</w:t>
            </w:r>
          </w:p>
          <w:p w:rsidR="005C59E4" w:rsidRPr="005C59E4" w:rsidRDefault="005C59E4" w:rsidP="005C59E4">
            <w:pPr>
              <w:spacing w:after="120" w:line="240" w:lineRule="auto"/>
              <w:jc w:val="center"/>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C00000"/>
                <w:sz w:val="24"/>
                <w:szCs w:val="24"/>
                <w:lang w:val="lv-LV" w:eastAsia="lv-LV"/>
              </w:rPr>
              <w:t>„</w:t>
            </w:r>
            <w:bookmarkStart w:id="0" w:name="_GoBack"/>
            <w:r w:rsidRPr="005C59E4">
              <w:rPr>
                <w:rFonts w:ascii="Times New Roman" w:eastAsia="Times New Roman" w:hAnsi="Times New Roman" w:cs="Times New Roman"/>
                <w:color w:val="C00000"/>
                <w:sz w:val="24"/>
                <w:szCs w:val="24"/>
                <w:lang w:val="lv-LV" w:eastAsia="lv-LV"/>
              </w:rPr>
              <w:t>Komandējošā sastāva virsnieks</w:t>
            </w:r>
            <w:bookmarkEnd w:id="0"/>
            <w:r w:rsidRPr="005C59E4">
              <w:rPr>
                <w:rFonts w:ascii="Times New Roman" w:eastAsia="Times New Roman" w:hAnsi="Times New Roman" w:cs="Times New Roman"/>
                <w:color w:val="C00000"/>
                <w:sz w:val="24"/>
                <w:szCs w:val="24"/>
                <w:lang w:val="lv-LV" w:eastAsia="lv-LV"/>
              </w:rPr>
              <w:t>”</w:t>
            </w:r>
          </w:p>
          <w:p w:rsidR="005C59E4" w:rsidRPr="005C59E4" w:rsidRDefault="005C59E4" w:rsidP="005C59E4">
            <w:pPr>
              <w:spacing w:after="120" w:line="240" w:lineRule="auto"/>
              <w:jc w:val="center"/>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 </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Iegūstamā profesionālā kvalifikācija:</w:t>
            </w:r>
            <w:r w:rsidRPr="005C59E4">
              <w:rPr>
                <w:rFonts w:ascii="Times New Roman" w:eastAsia="Times New Roman" w:hAnsi="Times New Roman" w:cs="Times New Roman"/>
                <w:color w:val="343434"/>
                <w:sz w:val="24"/>
                <w:szCs w:val="24"/>
                <w:lang w:val="lv-LV" w:eastAsia="lv-LV"/>
              </w:rPr>
              <w:t> leitnants.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Studiju līmenis: </w:t>
            </w:r>
            <w:r w:rsidRPr="005C59E4">
              <w:rPr>
                <w:rFonts w:ascii="Times New Roman" w:eastAsia="Times New Roman" w:hAnsi="Times New Roman" w:cs="Times New Roman"/>
                <w:color w:val="343434"/>
                <w:sz w:val="24"/>
                <w:szCs w:val="24"/>
                <w:lang w:val="lv-LV" w:eastAsia="lv-LV"/>
              </w:rPr>
              <w:t>otrā līmeņa profesionālā augstākā izglītība.</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Izsniegtais diploms:</w:t>
            </w:r>
            <w:r w:rsidRPr="005C59E4">
              <w:rPr>
                <w:rFonts w:ascii="Times New Roman" w:eastAsia="Times New Roman" w:hAnsi="Times New Roman" w:cs="Times New Roman"/>
                <w:color w:val="343434"/>
                <w:sz w:val="24"/>
                <w:szCs w:val="24"/>
                <w:lang w:val="lv-LV" w:eastAsia="lv-LV"/>
              </w:rPr>
              <w:t> otrā līmeņa profesionālās augstākās izglītības diploms.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Dienesta pakāpe:</w:t>
            </w:r>
            <w:r w:rsidRPr="005C59E4">
              <w:rPr>
                <w:rFonts w:ascii="Times New Roman" w:eastAsia="Times New Roman" w:hAnsi="Times New Roman" w:cs="Times New Roman"/>
                <w:color w:val="343434"/>
                <w:sz w:val="24"/>
                <w:szCs w:val="24"/>
                <w:lang w:val="lv-LV" w:eastAsia="lv-LV"/>
              </w:rPr>
              <w:t> leitnanta dienesta pakāpe.</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Studiju virziena akreditācijas termiņš:</w:t>
            </w:r>
            <w:r w:rsidRPr="005C59E4">
              <w:rPr>
                <w:rFonts w:ascii="Times New Roman" w:eastAsia="Times New Roman" w:hAnsi="Times New Roman" w:cs="Times New Roman"/>
                <w:color w:val="343434"/>
                <w:sz w:val="24"/>
                <w:szCs w:val="24"/>
                <w:lang w:val="lv-LV" w:eastAsia="lv-LV"/>
              </w:rPr>
              <w:t> studiju virziens </w:t>
            </w:r>
            <w:hyperlink r:id="rId5" w:tgtFrame="_blank" w:history="1">
              <w:r w:rsidRPr="005C59E4">
                <w:rPr>
                  <w:rFonts w:ascii="Times New Roman" w:eastAsia="Times New Roman" w:hAnsi="Times New Roman" w:cs="Times New Roman"/>
                  <w:color w:val="0070C0"/>
                  <w:sz w:val="24"/>
                  <w:szCs w:val="24"/>
                  <w:u w:val="single"/>
                  <w:lang w:val="lv-LV" w:eastAsia="lv-LV"/>
                </w:rPr>
                <w:t>MILITĀRĀ AIZSARDZĪBA</w:t>
              </w:r>
            </w:hyperlink>
            <w:r w:rsidRPr="005C59E4">
              <w:rPr>
                <w:rFonts w:ascii="Times New Roman" w:eastAsia="Times New Roman" w:hAnsi="Times New Roman" w:cs="Times New Roman"/>
                <w:color w:val="343434"/>
                <w:sz w:val="24"/>
                <w:szCs w:val="24"/>
                <w:lang w:val="lv-LV" w:eastAsia="lv-LV"/>
              </w:rPr>
              <w:t> ir akreditēts līdz 2019. gada 11. jūnijam (Studiju akreditācijas komisijas sēdes 2013. gada 12. jūnija lēmums Nr. 158 un 2014. gada 23. aprīļa lēmums Nr. 302.).</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Programmas akreditācijas termiņš:</w:t>
            </w:r>
            <w:r w:rsidRPr="005C59E4">
              <w:rPr>
                <w:rFonts w:ascii="Times New Roman" w:eastAsia="Times New Roman" w:hAnsi="Times New Roman" w:cs="Times New Roman"/>
                <w:color w:val="343434"/>
                <w:sz w:val="24"/>
                <w:szCs w:val="24"/>
                <w:lang w:val="lv-LV" w:eastAsia="lv-LV"/>
              </w:rPr>
              <w:t> 2019. gada 11. jūnijs.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Programmas direktors: </w:t>
            </w:r>
            <w:r w:rsidRPr="005C59E4">
              <w:rPr>
                <w:rFonts w:ascii="Times New Roman" w:eastAsia="Times New Roman" w:hAnsi="Times New Roman" w:cs="Times New Roman"/>
                <w:color w:val="343434"/>
                <w:sz w:val="24"/>
                <w:szCs w:val="24"/>
                <w:lang w:val="lv-LV" w:eastAsia="lv-LV"/>
              </w:rPr>
              <w:t>pulkvežleitnants Aivars Spriedējs.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Programmas forma: </w:t>
            </w:r>
            <w:r w:rsidRPr="005C59E4">
              <w:rPr>
                <w:rFonts w:ascii="Times New Roman" w:eastAsia="Times New Roman" w:hAnsi="Times New Roman" w:cs="Times New Roman"/>
                <w:color w:val="343434"/>
                <w:sz w:val="24"/>
                <w:szCs w:val="24"/>
                <w:lang w:val="lv-LV" w:eastAsia="lv-LV"/>
              </w:rPr>
              <w:t>pilna laika klātiene.</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Studiju ilgums:</w:t>
            </w:r>
            <w:r w:rsidRPr="005C59E4">
              <w:rPr>
                <w:rFonts w:ascii="Times New Roman" w:eastAsia="Times New Roman" w:hAnsi="Times New Roman" w:cs="Times New Roman"/>
                <w:color w:val="343434"/>
                <w:sz w:val="24"/>
                <w:szCs w:val="24"/>
                <w:lang w:val="lv-LV" w:eastAsia="lv-LV"/>
              </w:rPr>
              <w:t> 1 gads un 3 mēneši.</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Kredītpunktu skaits:</w:t>
            </w:r>
            <w:r w:rsidRPr="005C59E4">
              <w:rPr>
                <w:rFonts w:ascii="Times New Roman" w:eastAsia="Times New Roman" w:hAnsi="Times New Roman" w:cs="Times New Roman"/>
                <w:color w:val="343434"/>
                <w:sz w:val="24"/>
                <w:szCs w:val="24"/>
                <w:lang w:val="lv-LV" w:eastAsia="lv-LV"/>
              </w:rPr>
              <w:t> 52 Latvijas kredītpunkti (KP)</w:t>
            </w:r>
            <w:r w:rsidRPr="005C59E4">
              <w:rPr>
                <w:rFonts w:ascii="Times New Roman" w:eastAsia="Times New Roman" w:hAnsi="Times New Roman" w:cs="Times New Roman"/>
                <w:b/>
                <w:bCs/>
                <w:color w:val="343434"/>
                <w:sz w:val="24"/>
                <w:szCs w:val="24"/>
                <w:lang w:val="lv-LV" w:eastAsia="lv-LV"/>
              </w:rPr>
              <w:t>.</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Studiju maksa: </w:t>
            </w:r>
            <w:r w:rsidRPr="005C59E4">
              <w:rPr>
                <w:rFonts w:ascii="Times New Roman" w:eastAsia="Times New Roman" w:hAnsi="Times New Roman" w:cs="Times New Roman"/>
                <w:color w:val="343434"/>
                <w:sz w:val="24"/>
                <w:szCs w:val="24"/>
                <w:lang w:val="lv-LV" w:eastAsia="lv-LV"/>
              </w:rPr>
              <w:t>nav (studijas tiek finansētas no Nacionālo bruņoto spēku budžeta līdzekļiem).</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Studiju bāze: </w:t>
            </w:r>
            <w:r w:rsidRPr="005C59E4">
              <w:rPr>
                <w:rFonts w:ascii="Times New Roman" w:eastAsia="Times New Roman" w:hAnsi="Times New Roman" w:cs="Times New Roman"/>
                <w:color w:val="343434"/>
                <w:sz w:val="24"/>
                <w:szCs w:val="24"/>
                <w:lang w:val="lv-LV" w:eastAsia="lv-LV"/>
              </w:rPr>
              <w:t>Latvijas Nacionālā aizsardzības akadēmija.</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Mācību valoda: </w:t>
            </w:r>
            <w:r w:rsidRPr="005C59E4">
              <w:rPr>
                <w:rFonts w:ascii="Times New Roman" w:eastAsia="Times New Roman" w:hAnsi="Times New Roman" w:cs="Times New Roman"/>
                <w:color w:val="343434"/>
                <w:sz w:val="24"/>
                <w:szCs w:val="24"/>
                <w:lang w:val="lv-LV" w:eastAsia="lv-LV"/>
              </w:rPr>
              <w:t>latviešu.</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Studiju plānojums: </w:t>
            </w:r>
            <w:r w:rsidRPr="005C59E4">
              <w:rPr>
                <w:rFonts w:ascii="Times New Roman" w:eastAsia="Times New Roman" w:hAnsi="Times New Roman" w:cs="Times New Roman"/>
                <w:color w:val="343434"/>
                <w:sz w:val="24"/>
                <w:szCs w:val="24"/>
                <w:lang w:val="lv-LV" w:eastAsia="lv-LV"/>
              </w:rPr>
              <w:t>katru darba dienu (atsevišķos gadījumos arī sestdienās un svētdienās).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 </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Imatrikulācijas obligātās prasības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Programmā „Komandējošā sastāva virsnieks” atlases kārtībā uzņem Latvijas Republikas pilsoņus vecumā līdz 35 gadiem ar bakalaura un augstāka līmeņa izglītību, labu fizisko sagatavotību un vadītāja spējām, angļu valodas zināšanām un kuru veselības stāvoklis atbilst militārajam dienestam izvirzītajām prasībām.</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 </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Programmas mērķi:</w:t>
            </w:r>
          </w:p>
          <w:p w:rsidR="005C59E4" w:rsidRPr="005C59E4" w:rsidRDefault="005C59E4" w:rsidP="005C59E4">
            <w:pPr>
              <w:numPr>
                <w:ilvl w:val="0"/>
                <w:numId w:val="1"/>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Sagatavot motivētus un profesionālus līderus – militāros speciālistus dienestam Nacionālo bruņoto spēku Sauszemes spēku vienību komandējošajos amatos.</w:t>
            </w:r>
          </w:p>
          <w:p w:rsidR="005C59E4" w:rsidRPr="005C59E4" w:rsidRDefault="005C59E4" w:rsidP="005C59E4">
            <w:pPr>
              <w:numPr>
                <w:ilvl w:val="0"/>
                <w:numId w:val="1"/>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Nodrošināt komandējošā sastāva virsnieku profesionālo militāro apmācību saskaņā ar noteiktajiem standartiem un mūsdienu militārajām prasībām.</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Programmas uzdevumi:</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lastRenderedPageBreak/>
              <w:t>Apgūt militārā un nemilitārā lēmuma pieņemšanas procesa teorētiskās zināšanas un attīstīt praktiskās iemaņas miera laika situācijās un ekstrēmos apstākļos.</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Attīstīt analītiskās spējas risinot militāra rakstura problēmas.</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Attīstīt spējas darbam komandā, kā arī spējas patstāvīgi vadīt padotos militārajā vidē.</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Morāli un fiziski sagatavot apmācāmo militārā dienesta uzdevumu izpildei.</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Saskaņā ar komandiera noteiktām profesionālās kvalifikācijas prasībām apgūt militāri tehnisko ekspertīzi, t.sk. inženieru un kaujas atbalstu, individuālo un kolektīvo bruņojumu, sakarus un militāro ekipējumu.</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Iegūtās teorētiskās zināšanas militārajā līderībā un praktiski lietot mācību praksē.</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Izprast profesionālo ētiku un militāro komunikāciju.</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Saprast pasaulē un Latvijā notiekošos militāros, politiskos un kultūras procesus.</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Uzlabot speciālā militārā ekipējuma lietošanas iemaņas, lai sekmīgi pildītu militārā dienesta uzdevumus.</w:t>
            </w:r>
          </w:p>
          <w:p w:rsidR="005C59E4" w:rsidRPr="005C59E4" w:rsidRDefault="005C59E4" w:rsidP="005C59E4">
            <w:pPr>
              <w:numPr>
                <w:ilvl w:val="0"/>
                <w:numId w:val="2"/>
              </w:num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Apgūt militāro terminoloģiju angļu valodā.</w:t>
            </w:r>
          </w:p>
          <w:p w:rsidR="005C59E4" w:rsidRPr="005C59E4" w:rsidRDefault="005C59E4" w:rsidP="005C59E4">
            <w:pPr>
              <w:spacing w:after="20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Prasības kvalifikācijas iegūšanai</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Programma noslēdzas ar Valsts (kvalifikācijas) pārbaudījumu, kurš sastāv no divām daļām: Kvalifikācijas darbs (diplomdarbs) un tests vai integrētais eksāmens (mutiski).</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 </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Tiesības turpināt studijas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Tiesības studēt maģistrantūrā vai profesionālajās studiju programmās, kuras paredzētas studijām pēc bakalaura grāda ieguves.</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 </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b/>
                <w:bCs/>
                <w:color w:val="343434"/>
                <w:sz w:val="24"/>
                <w:szCs w:val="24"/>
                <w:lang w:val="lv-LV" w:eastAsia="lv-LV"/>
              </w:rPr>
              <w:t>Papildu informācija</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Latvijas Nacionālā aizsardzības akadēmija, Rīgā, Ezermalas iela 8B, LV-1014, tālr.: 67076881, fakss: 67076888, e-pasts: naa (at) mil.lv</w:t>
            </w:r>
          </w:p>
          <w:p w:rsidR="005C59E4" w:rsidRPr="005C59E4" w:rsidRDefault="005C59E4" w:rsidP="005C59E4">
            <w:pPr>
              <w:spacing w:after="120" w:line="240" w:lineRule="auto"/>
              <w:jc w:val="both"/>
              <w:rPr>
                <w:rFonts w:ascii="Times New Roman" w:eastAsia="Times New Roman" w:hAnsi="Times New Roman" w:cs="Times New Roman"/>
                <w:color w:val="343434"/>
                <w:sz w:val="24"/>
                <w:szCs w:val="24"/>
                <w:lang w:val="lv-LV" w:eastAsia="lv-LV"/>
              </w:rPr>
            </w:pPr>
            <w:r w:rsidRPr="005C59E4">
              <w:rPr>
                <w:rFonts w:ascii="Times New Roman" w:eastAsia="Times New Roman" w:hAnsi="Times New Roman" w:cs="Times New Roman"/>
                <w:color w:val="343434"/>
                <w:sz w:val="24"/>
                <w:szCs w:val="24"/>
                <w:lang w:val="lv-LV" w:eastAsia="lv-LV"/>
              </w:rPr>
              <w:t>NAA Mācību plānošanas un atbalsta daļas priekšnieks tālr.: 67076872.</w:t>
            </w:r>
          </w:p>
        </w:tc>
      </w:tr>
    </w:tbl>
    <w:p w:rsidR="00885CC4" w:rsidRPr="005C59E4" w:rsidRDefault="00885CC4">
      <w:pPr>
        <w:rPr>
          <w:rFonts w:ascii="Times New Roman" w:hAnsi="Times New Roman" w:cs="Times New Roman"/>
          <w:sz w:val="24"/>
          <w:szCs w:val="24"/>
        </w:rPr>
      </w:pPr>
    </w:p>
    <w:sectPr w:rsidR="00885CC4" w:rsidRPr="005C59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35E8C"/>
    <w:multiLevelType w:val="multilevel"/>
    <w:tmpl w:val="CBA8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84208"/>
    <w:multiLevelType w:val="multilevel"/>
    <w:tmpl w:val="DE0A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E4"/>
    <w:rsid w:val="005C59E4"/>
    <w:rsid w:val="0088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2EB55-43CB-4597-96A2-0DBCC1DB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title">
    <w:name w:val="documenttitle"/>
    <w:basedOn w:val="DefaultParagraphFont"/>
    <w:rsid w:val="005C59E4"/>
  </w:style>
  <w:style w:type="paragraph" w:styleId="NormalWeb">
    <w:name w:val="Normal (Web)"/>
    <w:basedOn w:val="Normal"/>
    <w:uiPriority w:val="99"/>
    <w:semiHidden/>
    <w:unhideWhenUsed/>
    <w:rsid w:val="005C59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semiHidden/>
    <w:unhideWhenUsed/>
    <w:rsid w:val="005C59E4"/>
    <w:rPr>
      <w:color w:val="0000FF"/>
      <w:u w:val="single"/>
    </w:rPr>
  </w:style>
  <w:style w:type="paragraph" w:customStyle="1" w:styleId="normal0">
    <w:name w:val="normal"/>
    <w:basedOn w:val="Normal"/>
    <w:rsid w:val="005C59E4"/>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246666">
      <w:bodyDiv w:val="1"/>
      <w:marLeft w:val="0"/>
      <w:marRight w:val="0"/>
      <w:marTop w:val="0"/>
      <w:marBottom w:val="0"/>
      <w:divBdr>
        <w:top w:val="none" w:sz="0" w:space="0" w:color="auto"/>
        <w:left w:val="none" w:sz="0" w:space="0" w:color="auto"/>
        <w:bottom w:val="none" w:sz="0" w:space="0" w:color="auto"/>
        <w:right w:val="none" w:sz="0" w:space="0" w:color="auto"/>
      </w:divBdr>
      <w:divsChild>
        <w:div w:id="1526093747">
          <w:marLeft w:val="0"/>
          <w:marRight w:val="0"/>
          <w:marTop w:val="0"/>
          <w:marBottom w:val="0"/>
          <w:divBdr>
            <w:top w:val="single" w:sz="2" w:space="0" w:color="D6D6D6"/>
            <w:left w:val="single" w:sz="2" w:space="0" w:color="D6D6D6"/>
            <w:bottom w:val="single" w:sz="2" w:space="0" w:color="D6D6D6"/>
            <w:right w:val="single" w:sz="2" w:space="0" w:color="D6D6D6"/>
          </w:divBdr>
          <w:divsChild>
            <w:div w:id="1200584695">
              <w:marLeft w:val="0"/>
              <w:marRight w:val="0"/>
              <w:marTop w:val="0"/>
              <w:marBottom w:val="0"/>
              <w:divBdr>
                <w:top w:val="single" w:sz="2" w:space="0" w:color="D6D6D6"/>
                <w:left w:val="single" w:sz="2" w:space="0" w:color="D6D6D6"/>
                <w:bottom w:val="single" w:sz="2" w:space="0" w:color="D6D6D6"/>
                <w:right w:val="single" w:sz="2" w:space="0" w:color="D6D6D6"/>
              </w:divBdr>
            </w:div>
            <w:div w:id="2077047513">
              <w:marLeft w:val="0"/>
              <w:marRight w:val="0"/>
              <w:marTop w:val="0"/>
              <w:marBottom w:val="0"/>
              <w:divBdr>
                <w:top w:val="single" w:sz="2" w:space="0" w:color="D6D6D6"/>
                <w:left w:val="single" w:sz="2" w:space="0" w:color="D6D6D6"/>
                <w:bottom w:val="single" w:sz="2" w:space="0" w:color="D6D6D6"/>
                <w:right w:val="single" w:sz="2" w:space="0" w:color="D6D6D6"/>
              </w:divBdr>
            </w:div>
            <w:div w:id="424111347">
              <w:marLeft w:val="0"/>
              <w:marRight w:val="0"/>
              <w:marTop w:val="0"/>
              <w:marBottom w:val="0"/>
              <w:divBdr>
                <w:top w:val="single" w:sz="2" w:space="0" w:color="D6D6D6"/>
                <w:left w:val="single" w:sz="2" w:space="0" w:color="D6D6D6"/>
                <w:bottom w:val="single" w:sz="2" w:space="0" w:color="D6D6D6"/>
                <w:right w:val="single" w:sz="2" w:space="0" w:color="D6D6D6"/>
              </w:divBdr>
            </w:div>
            <w:div w:id="1355770995">
              <w:marLeft w:val="0"/>
              <w:marRight w:val="0"/>
              <w:marTop w:val="0"/>
              <w:marBottom w:val="0"/>
              <w:divBdr>
                <w:top w:val="single" w:sz="2" w:space="0" w:color="D6D6D6"/>
                <w:left w:val="single" w:sz="2" w:space="0" w:color="D6D6D6"/>
                <w:bottom w:val="single" w:sz="2" w:space="0" w:color="D6D6D6"/>
                <w:right w:val="single" w:sz="2" w:space="0" w:color="D6D6D6"/>
              </w:divBdr>
            </w:div>
            <w:div w:id="660350838">
              <w:marLeft w:val="0"/>
              <w:marRight w:val="0"/>
              <w:marTop w:val="0"/>
              <w:marBottom w:val="0"/>
              <w:divBdr>
                <w:top w:val="single" w:sz="2" w:space="0" w:color="D6D6D6"/>
                <w:left w:val="single" w:sz="2" w:space="0" w:color="D6D6D6"/>
                <w:bottom w:val="single" w:sz="2" w:space="0" w:color="D6D6D6"/>
                <w:right w:val="single" w:sz="2" w:space="0" w:color="D6D6D6"/>
              </w:divBdr>
            </w:div>
            <w:div w:id="1689479332">
              <w:marLeft w:val="0"/>
              <w:marRight w:val="0"/>
              <w:marTop w:val="0"/>
              <w:marBottom w:val="0"/>
              <w:divBdr>
                <w:top w:val="single" w:sz="2" w:space="0" w:color="D6D6D6"/>
                <w:left w:val="single" w:sz="2" w:space="0" w:color="D6D6D6"/>
                <w:bottom w:val="single" w:sz="2" w:space="0" w:color="D6D6D6"/>
                <w:right w:val="single" w:sz="2" w:space="0" w:color="D6D6D6"/>
              </w:divBdr>
            </w:div>
            <w:div w:id="1884292686">
              <w:marLeft w:val="0"/>
              <w:marRight w:val="0"/>
              <w:marTop w:val="0"/>
              <w:marBottom w:val="0"/>
              <w:divBdr>
                <w:top w:val="single" w:sz="2" w:space="0" w:color="D6D6D6"/>
                <w:left w:val="single" w:sz="2" w:space="0" w:color="D6D6D6"/>
                <w:bottom w:val="single" w:sz="2" w:space="0" w:color="D6D6D6"/>
                <w:right w:val="single" w:sz="2" w:space="0" w:color="D6D6D6"/>
              </w:divBdr>
            </w:div>
            <w:div w:id="1472940593">
              <w:marLeft w:val="0"/>
              <w:marRight w:val="0"/>
              <w:marTop w:val="0"/>
              <w:marBottom w:val="0"/>
              <w:divBdr>
                <w:top w:val="single" w:sz="2" w:space="0" w:color="D6D6D6"/>
                <w:left w:val="single" w:sz="2" w:space="0" w:color="D6D6D6"/>
                <w:bottom w:val="single" w:sz="2" w:space="0" w:color="D6D6D6"/>
                <w:right w:val="single" w:sz="2" w:space="0" w:color="D6D6D6"/>
              </w:divBdr>
            </w:div>
            <w:div w:id="1652097405">
              <w:marLeft w:val="0"/>
              <w:marRight w:val="0"/>
              <w:marTop w:val="0"/>
              <w:marBottom w:val="0"/>
              <w:divBdr>
                <w:top w:val="single" w:sz="2" w:space="0" w:color="D6D6D6"/>
                <w:left w:val="single" w:sz="2" w:space="0" w:color="D6D6D6"/>
                <w:bottom w:val="single" w:sz="2" w:space="0" w:color="D6D6D6"/>
                <w:right w:val="single" w:sz="2" w:space="0" w:color="D6D6D6"/>
              </w:divBdr>
            </w:div>
            <w:div w:id="802848187">
              <w:marLeft w:val="0"/>
              <w:marRight w:val="0"/>
              <w:marTop w:val="0"/>
              <w:marBottom w:val="0"/>
              <w:divBdr>
                <w:top w:val="single" w:sz="2" w:space="0" w:color="D6D6D6"/>
                <w:left w:val="single" w:sz="2" w:space="0" w:color="D6D6D6"/>
                <w:bottom w:val="single" w:sz="2" w:space="0" w:color="D6D6D6"/>
                <w:right w:val="single" w:sz="2" w:space="0" w:color="D6D6D6"/>
              </w:divBdr>
            </w:div>
            <w:div w:id="354812015">
              <w:marLeft w:val="0"/>
              <w:marRight w:val="0"/>
              <w:marTop w:val="0"/>
              <w:marBottom w:val="0"/>
              <w:divBdr>
                <w:top w:val="single" w:sz="2" w:space="0" w:color="D6D6D6"/>
                <w:left w:val="single" w:sz="2" w:space="0" w:color="D6D6D6"/>
                <w:bottom w:val="single" w:sz="2" w:space="0" w:color="D6D6D6"/>
                <w:right w:val="single" w:sz="2" w:space="0" w:color="D6D6D6"/>
              </w:divBdr>
            </w:div>
            <w:div w:id="672729081">
              <w:marLeft w:val="0"/>
              <w:marRight w:val="0"/>
              <w:marTop w:val="0"/>
              <w:marBottom w:val="0"/>
              <w:divBdr>
                <w:top w:val="single" w:sz="2" w:space="0" w:color="D6D6D6"/>
                <w:left w:val="single" w:sz="2" w:space="0" w:color="D6D6D6"/>
                <w:bottom w:val="single" w:sz="2" w:space="0" w:color="D6D6D6"/>
                <w:right w:val="single" w:sz="2"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a.mil.lv/Par_NAA/Akreditacija.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2166</Words>
  <Characters>1236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2018-11-10T17:40:00Z</dcterms:created>
  <dcterms:modified xsi:type="dcterms:W3CDTF">2018-11-10T17:41:00Z</dcterms:modified>
</cp:coreProperties>
</file>